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firstLine="709"/>
        <w:contextualSpacing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Организация профориентационной работы с обучающимися с ОВЗ и инвалидностью в </w:t>
      </w:r>
      <w:r>
        <w:rPr>
          <w:rFonts w:eastAsia="Calibri" w:cs="Times New Roman" w:ascii="Times New Roman" w:hAnsi="Times New Roman"/>
          <w:b/>
          <w:sz w:val="24"/>
          <w:szCs w:val="24"/>
        </w:rPr>
        <w:t>МБОУ лицее №104 г. Минеральные Воды</w:t>
      </w:r>
    </w:p>
    <w:p>
      <w:pPr>
        <w:pStyle w:val="Normal"/>
        <w:spacing w:lineRule="auto" w:line="276" w:before="0" w:after="0"/>
        <w:ind w:firstLine="709"/>
        <w:contextualSpacing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Одним из направлений в работе с детьми </w:t>
      </w:r>
      <w:r>
        <w:rPr>
          <w:rFonts w:eastAsia="Calibri" w:cs="Times New Roman" w:ascii="Times New Roman" w:hAnsi="Times New Roman"/>
          <w:sz w:val="24"/>
          <w:szCs w:val="24"/>
        </w:rPr>
        <w:t>с ОВЗ и инвалидностью</w:t>
      </w:r>
      <w:r>
        <w:rPr>
          <w:rFonts w:eastAsia="Calibri" w:cs="Times New Roman" w:ascii="Times New Roman" w:hAnsi="Times New Roman"/>
          <w:sz w:val="24"/>
          <w:szCs w:val="24"/>
        </w:rPr>
        <w:t xml:space="preserve"> является профессиональная ориентация, профессиональная подготовка и профориентационная диагностика. Профориентация обучающихся </w:t>
      </w:r>
      <w:r>
        <w:rPr>
          <w:rFonts w:eastAsia="Calibri" w:cs="Times New Roman" w:ascii="Times New Roman" w:hAnsi="Times New Roman"/>
          <w:sz w:val="24"/>
          <w:szCs w:val="24"/>
        </w:rPr>
        <w:t>с ОВЗ и инвалидностью</w:t>
      </w:r>
      <w:r>
        <w:rPr>
          <w:rFonts w:eastAsia="Calibri" w:cs="Times New Roman" w:ascii="Times New Roman" w:hAnsi="Times New Roman"/>
          <w:sz w:val="24"/>
          <w:szCs w:val="24"/>
        </w:rPr>
        <w:t xml:space="preserve"> представляет собой систему мер, нацеленных на профессиональное самоопределение обучающихся, с учетом их склонностей, интересов, психофизических возможностей и потребностей современного рынка труда.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Психологическая работа по профориентации данной категории школьников имеет целый ряд специфических особенностей, обусловленных структурой, степенью выраженности нарушений и социально-экономическими условиями региона. Специфическая особенность профориентационной работы с обучающимися </w:t>
      </w:r>
      <w:r>
        <w:rPr>
          <w:rFonts w:eastAsia="Calibri" w:cs="Times New Roman" w:ascii="Times New Roman" w:hAnsi="Times New Roman"/>
          <w:sz w:val="24"/>
          <w:szCs w:val="24"/>
        </w:rPr>
        <w:t>с ОВЗ и инвалидностью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ее вариативность обуславливает необходимость индивидуализации деятельности.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Специфической особенностью профориентационной работы является ее непрерывность и  комплексность, которая целенаправленно осуществляется на всех возрастных этапах.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Далеко не каждому современному школьнику получается путем самоанализа и изучения мира профессий определиться с выбором. На помощь могут прийти профориентационные тесты, которые диагностируют психофизические возможности, состояние базовых психических функций, особенности коммуникативной эмоционально-личностной сферы, направленность, интересы, склонности и способности личности учащихся. Комплексное профориентационное диагностическое обследование обучающихся с ОВЗ </w:t>
      </w:r>
      <w:r>
        <w:rPr>
          <w:rFonts w:eastAsia="Calibri" w:cs="Times New Roman" w:ascii="Times New Roman" w:hAnsi="Times New Roman"/>
          <w:sz w:val="24"/>
          <w:szCs w:val="24"/>
        </w:rPr>
        <w:t xml:space="preserve">и инвалидностью </w:t>
      </w:r>
      <w:r>
        <w:rPr>
          <w:rFonts w:eastAsia="Calibri" w:cs="Times New Roman" w:ascii="Times New Roman" w:hAnsi="Times New Roman"/>
          <w:sz w:val="24"/>
          <w:szCs w:val="24"/>
        </w:rPr>
        <w:t>проводится ежегодно, с участием психологов, педагогов, учеников и родителей. Результаты обследования создают предпосылки для определения индивидуальной профессионально-личностной жизненной траектории ученика.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 w:eastAsia="Calibri" w:cs="Times New Roman"/>
          <w:i/>
          <w:i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>Методики для профотбора и профориентации: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Матрица выбора профессии. Работа с Матрицей выбора профессии поможет уточнить свой выбор, узнать будущую профессию, увидеть новые варианты.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Анкета для родителей «Социализация». Цель опроса - выявить условия и пути успешной социализации обучающихся к самостоятельной жизни.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</w:t>
      </w:r>
      <w:r>
        <w:rPr>
          <w:rFonts w:eastAsia="Calibri" w:cs="Times New Roman" w:ascii="Times New Roman" w:hAnsi="Times New Roman"/>
          <w:sz w:val="24"/>
          <w:szCs w:val="24"/>
        </w:rPr>
        <w:t>. Анкета для обучающихся «Социализация». Цель опроса - выявить условия и пути успешной социализации обучающихся к самостоятельной жизни.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</w:t>
      </w:r>
      <w:r>
        <w:rPr>
          <w:rFonts w:eastAsia="Calibri" w:cs="Times New Roman" w:ascii="Times New Roman" w:hAnsi="Times New Roman"/>
          <w:sz w:val="24"/>
          <w:szCs w:val="24"/>
        </w:rPr>
        <w:t>. Дифференциально-диагностический опросник (ДДО). Методика предназначена для отбора на различные типы профессий в соответствии с классификацией типов профессий Е.А. Климова.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5</w:t>
      </w:r>
      <w:r>
        <w:rPr>
          <w:rFonts w:eastAsia="Calibri" w:cs="Times New Roman" w:ascii="Times New Roman" w:hAnsi="Times New Roman"/>
          <w:sz w:val="24"/>
          <w:szCs w:val="24"/>
        </w:rPr>
        <w:t>. Тип мышления (Г.В. Резапкина).</w:t>
      </w:r>
      <w:r>
        <w:rPr>
          <w:rFonts w:eastAsia="Calibri" w:cs="Times New Roman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Методика помогает определить тип мышления.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6</w:t>
      </w:r>
      <w:r>
        <w:rPr>
          <w:rFonts w:eastAsia="Calibri" w:cs="Times New Roman" w:ascii="Times New Roman" w:hAnsi="Times New Roman"/>
          <w:sz w:val="24"/>
          <w:szCs w:val="24"/>
        </w:rPr>
        <w:t>. «Профессиограмма». Профориентационный тест, основанный на ассоциативном методе. Испытуемый дает ассоциации на профессии. Оценивается профессиональная направленность.</w:t>
      </w:r>
    </w:p>
    <w:p>
      <w:pPr>
        <w:pStyle w:val="Normal"/>
        <w:spacing w:lineRule="auto" w:line="276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Выбор профессии для любого человека происходит в течение длительного периода времени. Нужно учитывать тот факт, что особенности развития людей с особыми образовательными потребностями не позволяют сформировать навыки в короткие сроки. Поэтому важно, работу направленную на профессиональное самоопределение проводить как можно раньше, уже в младшем школьном возрасте.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Этапы работы по профориентации: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Первый этап ориентирован на обучающихся 1-4 классов, направлен  на формирование у детей любви и добросовестного отношения к труду, понимание его роли в жизни человека и общества. Развитие интереса к профессиям родителей и ближайшего производственного окружения, интереса к наиболее распространенным профессиям, основанного на практической вовлеченности обучающихся в различные виды познавательной, игровой, общественно полезной, трудовой деятельности.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Работа по профессиональной ориентации и социализации, обучающихся с ОВЗ </w:t>
      </w:r>
      <w:r>
        <w:rPr>
          <w:rFonts w:cs="Times New Roman" w:ascii="Times New Roman" w:hAnsi="Times New Roman"/>
          <w:spacing w:val="-1"/>
          <w:sz w:val="24"/>
          <w:szCs w:val="24"/>
        </w:rPr>
        <w:t>и инвалидностью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ведется через уроки технологии, в рамках урочной и внеурочной деятельности, в том числе и в рамках психологических коррекционно-развивающих занятий. 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чителями начальной школы использованы  на уроках математики задачи, на уроках русского языка тексты с тематическим содержанием о профессиях, а также применя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z w:val="24"/>
          <w:szCs w:val="24"/>
        </w:rPr>
        <w:t xml:space="preserve">ся  физкультминутки и игры по теме профессий. Педагоги моделируют ситуации коммуникативного  взаимодействия детей, участвуя в которых есть возможность испытать себя в приближенной к реальности игровой ситуации, где дети пробуют себя в деле, в разных профессиях, а так же и в роли посетителя (формируя при этом социально-бытовые и адаптивные навыки).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Второй этап ориентирован на обучающихся 5-</w:t>
      </w:r>
      <w:r>
        <w:rPr>
          <w:rFonts w:cs="Times New Roman" w:ascii="Times New Roman" w:hAnsi="Times New Roman"/>
          <w:sz w:val="24"/>
          <w:szCs w:val="24"/>
        </w:rPr>
        <w:t>8</w:t>
      </w:r>
      <w:r>
        <w:rPr>
          <w:rFonts w:cs="Times New Roman" w:ascii="Times New Roman" w:hAnsi="Times New Roman"/>
          <w:sz w:val="24"/>
          <w:szCs w:val="24"/>
        </w:rPr>
        <w:t xml:space="preserve"> классов и нацелен на расширение, углубление и систематизацию знаний и умений обучающихся в обязательных предметных областях, осознание ими своих интересов, способностей, общественных ценностей, связанных с выбором профессии и своего места в обществе.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Третий этап ориентирован на обучающихся </w:t>
      </w: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11</w:t>
      </w:r>
      <w:r>
        <w:rPr>
          <w:rFonts w:cs="Times New Roman" w:ascii="Times New Roman" w:hAnsi="Times New Roman"/>
          <w:sz w:val="24"/>
          <w:szCs w:val="24"/>
        </w:rPr>
        <w:t xml:space="preserve"> классов, направлен на создание условий, способствующих углубленной трудовой подготовке и социализации обучающихся, которые необходимы для их самостоятельной жизнедеятельности в социальной среде. На данном этапе происходит формирование у обучающихся личностного профессионального выбора, умений соотносить общественные цели выбора со своими возможностями (в том числе здоровья).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втором и третьем этапе к деятельности, направленной на профессиональное самоопределение, привлекаются педагоги-психологи, специалисты центра занятости населения, профессиональные образовательные организации, предприятия города, которые формируют у обучающихся навыки выбора профессии и дают им соответствующие знания.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 xml:space="preserve">Все этапы деятельности по профессиональному самоопределению реализуются через урочную и внеурочную деятельности.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Внеурочная деятельность реализуется через: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  <w:lang w:eastAsia="ko-KR"/>
        </w:rPr>
        <w:t xml:space="preserve">циклы профориентационных часов общения, классных часов, направленных на подготовку к осознанному выбору своего профессионального будущего с учетом особенностей здоровья (например: </w:t>
      </w:r>
      <w:r>
        <w:rPr>
          <w:rFonts w:eastAsia="Calibri" w:cs="Times New Roman" w:ascii="Times New Roman" w:hAnsi="Times New Roman"/>
          <w:sz w:val="24"/>
          <w:szCs w:val="24"/>
        </w:rPr>
        <w:t>«Уважение к труду людей» (рассказы о профессиях родителей, бабушек и дедушек); «Весенние (летние, осенние, зимние) работы в саду, огороде, поле, городе»; «Профессии разные важны, профессии разные нужны»</w:t>
      </w:r>
      <w:r>
        <w:rPr>
          <w:rFonts w:eastAsia="Calibri" w:cs="Times New Roman" w:ascii="Times New Roman" w:hAnsi="Times New Roman"/>
          <w:sz w:val="24"/>
          <w:szCs w:val="24"/>
          <w:lang w:eastAsia="ko-KR"/>
        </w:rPr>
        <w:t>);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ko-KR"/>
        </w:rPr>
      </w:pPr>
      <w:r>
        <w:rPr>
          <w:rFonts w:eastAsia="Calibri" w:cs="Times New Roman" w:ascii="Times New Roman" w:hAnsi="Times New Roman"/>
          <w:sz w:val="24"/>
          <w:szCs w:val="24"/>
          <w:lang w:eastAsia="ko-KR"/>
        </w:rPr>
        <w:t>- профориентационные игры,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 (например, «Фейерверк профессий», «</w:t>
      </w:r>
      <w:r>
        <w:rPr>
          <w:rFonts w:eastAsia="Calibri" w:cs="Times New Roman" w:ascii="Times New Roman" w:hAnsi="Times New Roman"/>
          <w:sz w:val="24"/>
          <w:szCs w:val="24"/>
        </w:rPr>
        <w:t xml:space="preserve">Я отгадаю эту профессию», </w:t>
      </w:r>
      <w:r>
        <w:rPr>
          <w:rFonts w:eastAsia="Calibri" w:cs="Times New Roman" w:ascii="Times New Roman" w:hAnsi="Times New Roman"/>
          <w:sz w:val="24"/>
          <w:szCs w:val="24"/>
          <w:shd w:fill="FFFFFF" w:val="clear"/>
        </w:rPr>
        <w:t>«Кем я хочу стать? «Кем быть?», «Бюро находок»</w:t>
      </w:r>
      <w:r>
        <w:rPr>
          <w:rFonts w:eastAsia="Calibri" w:cs="Times New Roman" w:ascii="Times New Roman" w:hAnsi="Times New Roman"/>
          <w:sz w:val="24"/>
          <w:szCs w:val="24"/>
        </w:rPr>
        <w:t xml:space="preserve"> и др.</w:t>
      </w:r>
      <w:r>
        <w:rPr>
          <w:rFonts w:eastAsia="Calibri" w:cs="Times New Roman" w:ascii="Times New Roman" w:hAnsi="Times New Roman"/>
          <w:sz w:val="24"/>
          <w:szCs w:val="24"/>
          <w:lang w:eastAsia="ko-KR"/>
        </w:rPr>
        <w:t xml:space="preserve">); 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ko-KR"/>
        </w:rPr>
      </w:pPr>
      <w:r>
        <w:rPr>
          <w:rFonts w:cs="Times New Roman" w:ascii="Times New Roman" w:hAnsi="Times New Roman"/>
          <w:sz w:val="24"/>
          <w:szCs w:val="24"/>
        </w:rPr>
        <w:t xml:space="preserve">- квест-игры «Профессии вокруг меня», </w:t>
      </w:r>
      <w:r>
        <w:rPr>
          <w:rFonts w:cs="Times New Roman" w:ascii="Times New Roman" w:hAnsi="Times New Roman"/>
          <w:color w:val="000000"/>
          <w:sz w:val="24"/>
          <w:szCs w:val="24"/>
        </w:rPr>
        <w:t>способствующие формированию профессиональной ориентации подростков на основе взаимодействия обучающихся, классного руководителя и родителей для активизации самоопределения подростков связанных с выбором профессии;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цикл видео</w:t>
      </w:r>
      <w:r>
        <w:rPr>
          <w:rFonts w:cs="Times New Roman" w:ascii="Times New Roman" w:hAnsi="Times New Roman"/>
          <w:sz w:val="24"/>
          <w:szCs w:val="24"/>
        </w:rPr>
        <w:t>уроков</w:t>
      </w:r>
      <w:r>
        <w:rPr>
          <w:rFonts w:cs="Times New Roman" w:ascii="Times New Roman" w:hAnsi="Times New Roman"/>
          <w:sz w:val="24"/>
          <w:szCs w:val="24"/>
        </w:rPr>
        <w:t xml:space="preserve"> «</w:t>
      </w:r>
      <w:r>
        <w:rPr>
          <w:rFonts w:cs="Times New Roman" w:ascii="Times New Roman" w:hAnsi="Times New Roman"/>
          <w:sz w:val="24"/>
          <w:szCs w:val="24"/>
        </w:rPr>
        <w:t>Проектория</w:t>
      </w:r>
      <w:r>
        <w:rPr>
          <w:rFonts w:cs="Times New Roman" w:ascii="Times New Roman" w:hAnsi="Times New Roman"/>
          <w:sz w:val="24"/>
          <w:szCs w:val="24"/>
        </w:rPr>
        <w:t>»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ko-KR"/>
        </w:rPr>
      </w:pPr>
      <w:r>
        <w:rPr>
          <w:rFonts w:eastAsia="Calibri" w:cs="Times New Roman" w:ascii="Times New Roman" w:hAnsi="Times New Roman"/>
          <w:sz w:val="24"/>
          <w:szCs w:val="24"/>
          <w:lang w:eastAsia="ko-KR"/>
        </w:rPr>
        <w:t>- экскурсии на предприятия и учреждения города, дающие школьникам представления о существующих профессиях и условиях работы людей, представляющих эти профессии, а также позволяющие формировать социальные компетенции;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  <w:shd w:fill="FFFFFF" w:val="clear"/>
        </w:rPr>
      </w:pPr>
      <w:r>
        <w:rPr>
          <w:rFonts w:eastAsia="Calibri" w:cs="Times New Roman" w:ascii="Times New Roman" w:hAnsi="Times New Roman"/>
          <w:sz w:val="24"/>
          <w:szCs w:val="24"/>
          <w:lang w:eastAsia="ko-KR"/>
        </w:rPr>
        <w:t xml:space="preserve">- участие в </w:t>
      </w:r>
      <w:r>
        <w:rPr>
          <w:rFonts w:eastAsia="Calibri" w:cs="Times New Roman" w:ascii="Times New Roman" w:hAnsi="Times New Roman"/>
          <w:sz w:val="24"/>
          <w:szCs w:val="24"/>
          <w:shd w:fill="FFFFFF" w:val="clear"/>
        </w:rPr>
        <w:t>региональных мероприятиях детей  с ограниченными возможностями здоровья: марафон «Абилимпикс;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ko-KR"/>
        </w:rPr>
      </w:pPr>
      <w:r>
        <w:rPr>
          <w:rFonts w:eastAsia="Calibri" w:cs="Times New Roman" w:ascii="Times New Roman" w:hAnsi="Times New Roman"/>
          <w:sz w:val="24"/>
          <w:szCs w:val="24"/>
          <w:lang w:eastAsia="ko-KR"/>
        </w:rPr>
        <w:t>- посещение дней открытых дверей в средних учебных заведениях;</w:t>
      </w:r>
    </w:p>
    <w:p>
      <w:pPr>
        <w:pStyle w:val="Normal"/>
        <w:tabs>
          <w:tab w:val="clear" w:pos="708"/>
          <w:tab w:val="left" w:pos="885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- освоение школьниками основ профессии в рамках профильного труда, трудовой практики, социально-значимой деятельности, трудоустройства в каникулярный период, дополнительного образования.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Важным блоком работы так же является работа с родителями (законными представителями), которая включает: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индивидуальные беседы и консультации;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лекции о роли родителей (законных представителей) в выборе ребёнком профессии и получении соответствующего образования;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рассмотрение вопросов о стратегиях выбора профессии на классных родительских собраниях с привлечением педагога-психолога;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взаимодействие в части организации экскурсий по месту работы родителей, привлечение к проведению профориентационных классных часов с целью представления собственной профессии;</w:t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привлечение для помощи с временным трудоустройством старшеклассников в период каникул.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bCs/>
          <w:color w:val="000000"/>
          <w:shd w:fill="FFFFFF" w:val="clear"/>
        </w:rPr>
      </w:pPr>
      <w:r>
        <w:rPr>
          <w:bCs/>
          <w:color w:val="000000"/>
          <w:shd w:fill="FFFFFF" w:val="clear"/>
        </w:rPr>
        <w:t>Список использованной литературы: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>
          <w:bCs/>
          <w:color w:val="000000"/>
          <w:shd w:fill="FFFFFF" w:val="clear"/>
        </w:rPr>
        <w:t>Ероховец, О.Е. Формирование профориентационного самосознания учащихся/ О.Е Ероховец. – Минск: Красико-Принт, 2014. – 128 с. – (Деятельность классного руководителя).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>
          <w:bCs/>
          <w:color w:val="000000"/>
          <w:shd w:fill="FFFFFF" w:val="clear"/>
        </w:rPr>
        <w:t>Психологическое сопровождение профориентационной работы в учреждении образования/сост. О.И. Главницкая. – Минск: Красико-Принт, 2015. – 96 с. – (Школьному психологу и социальному педагогу).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/>
        <w:t>Азбука профориентации в школе: классные часы, игры, мероприятия, неделя профориентации/ сост. Котова Н.В. – Минск: Красико-Принт,2015. 128 с.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>
          <w:shd w:fill="FFFFFF" w:val="clear"/>
        </w:rPr>
        <w:t>Манухина С.Ю. Основы профориентации. Хрестоматия /учебное пособие/ 2011.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>
          <w:shd w:fill="FFFFFF" w:val="clear"/>
        </w:rPr>
        <w:t>Методика профориентации при умственной отсталости / Методические указания под ред. Е.М. Старобиной СПБ Изд-во «Эксперт», 2005.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bCs/>
          <w:color w:val="000000"/>
          <w:shd w:fill="FFFFFF" w:val="clear"/>
        </w:rPr>
      </w:pPr>
      <w:r>
        <w:rPr>
          <w:shd w:fill="FFFFFF" w:val="clear"/>
        </w:rPr>
        <w:t>Трошин О. и др. Основы социальной реабилитации и профориентации: Учеб. пособие – М.: 2005.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Cs/>
          <w:color w:val="000000"/>
          <w:shd w:fill="FFFFFF" w:val="clear"/>
        </w:rPr>
      </w:pPr>
      <w:r>
        <w:rPr>
          <w:bCs/>
          <w:color w:val="000000"/>
          <w:shd w:fill="FFFFFF" w:val="clear"/>
        </w:rPr>
      </w:r>
    </w:p>
    <w:p>
      <w:pPr>
        <w:pStyle w:val="Normal"/>
        <w:spacing w:lineRule="auto" w:line="360" w:before="0" w:after="0"/>
        <w:ind w:firstLine="709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</w:t>
      </w:r>
      <w:r>
        <w:rPr>
          <w:rFonts w:eastAsia="Calibri" w:cs="Times New Roman" w:ascii="Times New Roman" w:hAnsi="Times New Roman"/>
          <w:sz w:val="24"/>
          <w:szCs w:val="24"/>
        </w:rPr>
        <w:t xml:space="preserve">едагог-психолог </w:t>
      </w:r>
      <w:r>
        <w:rPr>
          <w:rFonts w:eastAsia="Calibri" w:cs="Times New Roman" w:ascii="Times New Roman" w:hAnsi="Times New Roman"/>
          <w:sz w:val="24"/>
          <w:szCs w:val="24"/>
        </w:rPr>
        <w:t>И.В. Харланова</w:t>
      </w:r>
    </w:p>
    <w:sectPr>
      <w:type w:val="nextPage"/>
      <w:pgSz w:w="11906" w:h="16838"/>
      <w:pgMar w:left="1701" w:right="850" w:gutter="0" w:header="0" w:top="1080" w:footer="0" w:bottom="90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594a1d"/>
    <w:rPr>
      <w:rFonts w:ascii="Segoe UI" w:hAnsi="Segoe UI" w:cs="Segoe UI"/>
      <w:sz w:val="18"/>
      <w:szCs w:val="18"/>
    </w:rPr>
  </w:style>
  <w:style w:type="character" w:styleId="CharAttribute502" w:customStyle="1">
    <w:name w:val="CharAttribute502"/>
    <w:qFormat/>
    <w:rsid w:val="00630873"/>
    <w:rPr>
      <w:rFonts w:ascii="Times New Roman" w:hAnsi="Times New Roman" w:eastAsia="Times New Roman"/>
      <w:i/>
      <w:sz w:val="28"/>
    </w:rPr>
  </w:style>
  <w:style w:type="character" w:styleId="Style15">
    <w:name w:val="Hyperlink"/>
    <w:basedOn w:val="DefaultParagraphFont"/>
    <w:uiPriority w:val="99"/>
    <w:unhideWhenUsed/>
    <w:rsid w:val="00506b25"/>
    <w:rPr>
      <w:color w:val="0000FF"/>
      <w:u w:val="single"/>
    </w:rPr>
  </w:style>
  <w:style w:type="character" w:styleId="IntenseReference">
    <w:name w:val="Intense Reference"/>
    <w:basedOn w:val="DefaultParagraphFont"/>
    <w:uiPriority w:val="32"/>
    <w:qFormat/>
    <w:rsid w:val="00ed740c"/>
    <w:rPr>
      <w:b/>
      <w:bCs/>
      <w:smallCaps/>
      <w:color w:val="ED7D31" w:themeColor="accent2"/>
      <w:spacing w:val="5"/>
      <w:u w:val="single"/>
    </w:rPr>
  </w:style>
  <w:style w:type="character" w:styleId="Style16" w:customStyle="1">
    <w:name w:val="Основной текст Знак"/>
    <w:basedOn w:val="DefaultParagraphFont"/>
    <w:uiPriority w:val="1"/>
    <w:qFormat/>
    <w:rsid w:val="00ed740c"/>
    <w:rPr>
      <w:rFonts w:ascii="Times New Roman" w:hAnsi="Times New Roman" w:eastAsia="" w:cs="Times New Roman" w:eastAsiaTheme="minorEastAsia"/>
      <w:sz w:val="28"/>
      <w:szCs w:val="28"/>
      <w:lang w:eastAsia="ru-RU"/>
    </w:rPr>
  </w:style>
  <w:style w:type="character" w:styleId="Style17">
    <w:name w:val="FollowedHyperlink"/>
    <w:basedOn w:val="DefaultParagraphFont"/>
    <w:uiPriority w:val="99"/>
    <w:semiHidden/>
    <w:unhideWhenUsed/>
    <w:rsid w:val="00de3f69"/>
    <w:rPr>
      <w:color w:val="954F72" w:themeColor="followedHyperlink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Style16"/>
    <w:uiPriority w:val="1"/>
    <w:qFormat/>
    <w:rsid w:val="00ed740c"/>
    <w:pPr>
      <w:widowControl w:val="false"/>
      <w:spacing w:lineRule="auto" w:line="240" w:before="6" w:after="0"/>
      <w:ind w:left="112" w:firstLine="708"/>
    </w:pPr>
    <w:rPr>
      <w:rFonts w:ascii="Times New Roman" w:hAnsi="Times New Roman" w:eastAsia="" w:cs="Times New Roman" w:eastAsiaTheme="minorEastAsia"/>
      <w:sz w:val="28"/>
      <w:szCs w:val="28"/>
      <w:lang w:eastAsia="ru-RU"/>
    </w:rPr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622a5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94a1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ab6b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7f0e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2597</TotalTime>
  <Application>LibreOffice/7.4.3.2$Windows_X86_64 LibreOffice_project/1048a8393ae2eeec98dff31b5c133c5f1d08b890</Application>
  <AppVersion>15.0000</AppVersion>
  <Pages>3</Pages>
  <Words>995</Words>
  <Characters>7509</Characters>
  <CharactersWithSpaces>8480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2022-02-21T11:17:00Z</dcterms:created>
  <dc:creator>Windows User</dc:creator>
  <dc:description/>
  <dc:language>ru-RU</dc:language>
  <cp:lastModifiedBy/>
  <cp:lastPrinted>2022-02-24T09:43:00Z</cp:lastPrinted>
  <dcterms:modified xsi:type="dcterms:W3CDTF">2023-05-11T12:55:48Z</dcterms:modified>
  <cp:revision>135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