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Fonts w:cs="" w:asciiTheme="majorBidi" w:cstheme="majorBidi" w:hAnsiTheme="majorBidi"/>
          <w:sz w:val="28"/>
          <w:szCs w:val="28"/>
          <w:lang w:val="en-US"/>
        </w:rPr>
        <w:t>Муниципальное  бюджетное общеобразовательное учреждение лицей № 104 г. Минеральные Воды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  <w:lang w:val="en-US"/>
        </w:rPr>
      </w:pPr>
      <w:r>
        <w:rPr>
          <w:rFonts w:cs="" w:asciiTheme="majorBidi" w:cstheme="majorBidi" w:hAnsiTheme="majorBidi"/>
          <w:sz w:val="28"/>
          <w:szCs w:val="28"/>
          <w:lang w:val="en-US"/>
        </w:rPr>
      </w:r>
    </w:p>
    <w:tbl>
      <w:tblPr>
        <w:tblStyle w:val="ab"/>
        <w:tblW w:w="99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73"/>
        <w:gridCol w:w="3284"/>
        <w:gridCol w:w="3365"/>
      </w:tblGrid>
      <w:tr>
        <w:trPr/>
        <w:tc>
          <w:tcPr>
            <w:tcW w:w="3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ru-RU" w:eastAsia="en-US" w:bidi="ar-SA"/>
              </w:rPr>
              <w:t>Принято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ru-RU" w:eastAsia="en-US" w:bidi="ar-SA"/>
              </w:rPr>
              <w:t>педагогический совет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lang w:val="ru-RU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ru-RU" w:eastAsia="en-US" w:bidi="ar-SA"/>
              </w:rPr>
              <w:t>Спинко О.П.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ru-RU" w:eastAsia="en-US" w:bidi="ar-SA"/>
              </w:rPr>
              <w:t>Протокол</w:t>
            </w: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en-US" w:eastAsia="en-US" w:bidi="ar-SA"/>
              </w:rPr>
              <w:t xml:space="preserve"> №8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/>
                <w:kern w:val="0"/>
                <w:lang w:eastAsia="en-US" w:bidi="ar-SA"/>
              </w:rPr>
              <w:t>от</w:t>
            </w:r>
            <w:r>
              <w:rPr>
                <w:rFonts w:eastAsia="Calibri" w:cs=""/>
                <w:kern w:val="0"/>
                <w:lang w:val="en-US" w:eastAsia="en-US" w:bidi="ar-SA"/>
              </w:rPr>
              <w:t xml:space="preserve"> “22.05.2023”</w:t>
            </w:r>
          </w:p>
        </w:tc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ru-RU" w:eastAsia="en-US" w:bidi="ar-SA"/>
              </w:rPr>
              <w:t>СОГЛАСОВАНО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en-US" w:eastAsia="en-US" w:bidi="ar-SA"/>
              </w:rPr>
              <w:t>Управляющий совет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en-US" w:eastAsia="en-US" w:bidi="ar-SA"/>
              </w:rPr>
              <w:t>Иванникова Л.С.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ru-RU" w:eastAsia="en-US" w:bidi="ar-SA"/>
              </w:rPr>
              <w:t>Протокол</w:t>
            </w: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en-US" w:eastAsia="en-US" w:bidi="ar-SA"/>
              </w:rPr>
              <w:t xml:space="preserve"> №4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ru-RU" w:eastAsia="en-US" w:bidi="ar-SA"/>
              </w:rPr>
              <w:t>от</w:t>
            </w: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en-US" w:eastAsia="en-US" w:bidi="ar-SA"/>
              </w:rPr>
              <w:t xml:space="preserve"> “22.05.2023”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</w:tc>
        <w:tc>
          <w:tcPr>
            <w:tcW w:w="3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ru-RU" w:eastAsia="en-US" w:bidi="ar-SA"/>
              </w:rPr>
              <w:t>УТВЕРЖДЕНО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en-US" w:eastAsia="en-US" w:bidi="ar-SA"/>
              </w:rPr>
              <w:t>Директор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en-US" w:eastAsia="en-US" w:bidi="ar-SA"/>
              </w:rPr>
              <w:t>Анд</w:t>
            </w:r>
            <w:r>
              <w:rPr>
                <w:rFonts w:eastAsia="Calibri" w:cs="" w:asciiTheme="majorBidi" w:cstheme="majorBidi" w:hAnsiTheme="majorBidi"/>
                <w:color w:val="000000"/>
                <w:kern w:val="0"/>
                <w:sz w:val="24"/>
                <w:szCs w:val="24"/>
                <w:lang w:val="en-US" w:eastAsia="en-US" w:bidi="ar-SA"/>
              </w:rPr>
              <w:t>риенко Н.А.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color w:val="000000"/>
              </w:rPr>
            </w:pPr>
            <w:r>
              <w:rPr>
                <w:rFonts w:eastAsia="Calibri" w:cs="" w:asciiTheme="majorBidi" w:cstheme="majorBidi" w:hAnsiTheme="majorBidi"/>
                <w:color w:val="000000"/>
                <w:kern w:val="0"/>
                <w:sz w:val="24"/>
                <w:szCs w:val="24"/>
                <w:lang w:val="ru-RU" w:eastAsia="en-US" w:bidi="ar-SA"/>
              </w:rPr>
              <w:t>Приказ</w:t>
            </w:r>
            <w:r>
              <w:rPr>
                <w:rFonts w:eastAsia="Calibri" w:cs="" w:asciiTheme="majorBidi" w:cstheme="majorBidi" w:hAnsiTheme="majorBidi"/>
                <w:color w:val="000000"/>
                <w:kern w:val="0"/>
                <w:sz w:val="24"/>
                <w:szCs w:val="24"/>
                <w:lang w:val="en-US" w:eastAsia="en-US" w:bidi="ar-SA"/>
              </w:rPr>
              <w:t xml:space="preserve"> № </w:t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lang w:val="en-US" w:eastAsia="en-US" w:bidi="ar-SA"/>
              </w:rPr>
              <w:t>59.1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color w:val="000000"/>
              </w:rPr>
            </w:pPr>
            <w:r>
              <w:rPr>
                <w:rFonts w:eastAsia="Calibri" w:cs="" w:asciiTheme="majorBidi" w:cstheme="majorBidi" w:hAnsiTheme="majorBidi"/>
                <w:color w:val="000000"/>
                <w:kern w:val="0"/>
                <w:sz w:val="24"/>
                <w:szCs w:val="24"/>
                <w:lang w:val="ru-RU" w:eastAsia="en-US" w:bidi="ar-SA"/>
              </w:rPr>
              <w:t>от</w:t>
            </w:r>
            <w:r>
              <w:rPr>
                <w:rFonts w:eastAsia="Calibri" w:cs="" w:asciiTheme="majorBidi" w:cstheme="majorBidi" w:hAnsiTheme="majorBidi"/>
                <w:color w:val="000000"/>
                <w:kern w:val="0"/>
                <w:sz w:val="24"/>
                <w:szCs w:val="24"/>
                <w:lang w:val="en-US" w:eastAsia="en-US" w:bidi="ar-SA"/>
              </w:rPr>
              <w:t xml:space="preserve"> “2</w:t>
            </w:r>
            <w:r>
              <w:rPr>
                <w:rFonts w:eastAsia="Calibri" w:cs="" w:asciiTheme="majorBidi" w:cstheme="majorBidi" w:hAnsiTheme="majorBidi"/>
                <w:color w:val="000000"/>
                <w:kern w:val="0"/>
                <w:sz w:val="24"/>
                <w:szCs w:val="24"/>
                <w:lang w:val="en-US" w:eastAsia="en-US" w:bidi="ar-SA"/>
              </w:rPr>
              <w:t>3</w:t>
            </w:r>
            <w:r>
              <w:rPr>
                <w:rFonts w:eastAsia="Calibri" w:cs="" w:asciiTheme="majorBidi" w:cstheme="majorBidi" w:hAnsiTheme="majorBidi"/>
                <w:color w:val="000000"/>
                <w:kern w:val="0"/>
                <w:sz w:val="24"/>
                <w:szCs w:val="24"/>
                <w:lang w:val="en-US" w:eastAsia="en-US" w:bidi="ar-SA"/>
              </w:rPr>
              <w:t>.05.2023”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</w:tc>
      </w:tr>
    </w:tbl>
    <w:p>
      <w:pPr>
        <w:pStyle w:val="Normal"/>
        <w:jc w:val="center"/>
        <w:rPr>
          <w:rFonts w:cs="" w:asciiTheme="majorBidi" w:cstheme="majorBidi" w:hAnsiTheme="majorBidi"/>
          <w:lang w:val="en-US"/>
        </w:rPr>
      </w:pPr>
      <w:r>
        <w:rPr>
          <w:rFonts w:cs="" w:asciiTheme="majorBidi" w:cstheme="majorBidi" w:hAnsiTheme="majorBidi"/>
          <w:lang w:val="en-US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УЧЕБНЫЙ ПЛАН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начального общего образования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на 2023 – 2024 учебный год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Минераловодский городской округ, Ставропольский край 2023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  <w:r>
        <w:br w:type="page"/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ПОЯСНИТЕЛЬНАЯ ЗАПИСКА</w:t>
      </w:r>
    </w:p>
    <w:p>
      <w:pPr>
        <w:pStyle w:val="Normal"/>
        <w:spacing w:lineRule="auto" w:line="276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 начального общего образования Муниципальное  бюджетное общеобразовательное учреждение лицей № 104 г. Минеральные Воды</w:t>
      </w: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>(далее - учебный план) для 1-4 классов, реализующих основную образовательную программу начального общего образования, соответствующую ФГОС НОО (приказ Министерства просвещения Российской Федерации от 31.05.2021 № 286 «Об утверждении федерального государственного образовательного стандарта начального общего образования»), 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 является частью образовательной программы Муниципальное  бюджетное общеобразовательное учреждение лицей № 104 г. Минеральные Воды, разработанной в соответствии с ФГОС начального общего образования, с учетом Федеральной образовательной программой начального общего образования, и обеспечивает выполнение санитарно-эпидемиологических требований СП 2.4.3648-20 и гигиенических нормативов и требований СанПиН 1.2.3685-21.</w:t>
      </w:r>
    </w:p>
    <w:p>
      <w:pPr>
        <w:pStyle w:val="Normal"/>
        <w:spacing w:lineRule="auto" w:line="276"/>
        <w:ind w:firstLine="567"/>
        <w:jc w:val="both"/>
        <w:rPr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год в Муниципальное  бюджетное общеобразовательное учреждение лицей № 104 г. Минеральные Воды</w:t>
      </w: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начинается </w:t>
      </w:r>
      <w:r>
        <w:rPr>
          <w:rFonts w:cs="" w:asciiTheme="majorBidi" w:cstheme="majorBidi" w:hAnsiTheme="majorBidi"/>
          <w:sz w:val="28"/>
          <w:szCs w:val="28"/>
        </w:rPr>
        <w:t xml:space="preserve">01.09.2023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и заканчивается </w:t>
      </w:r>
      <w:r>
        <w:rPr>
          <w:rFonts w:cs="" w:asciiTheme="majorBidi" w:cstheme="majorBidi" w:hAnsiTheme="majorBidi"/>
          <w:sz w:val="28"/>
          <w:szCs w:val="28"/>
        </w:rPr>
        <w:t xml:space="preserve">20.05.2024. </w:t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Продолжительность учебного года в 1 классе - 33 учебные недели во 2-4 классах – 34 учебных недели. </w:t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Максимальный объем аудиторной нагрузки обучающихся в неделю составляет  в 1 классе - 21 час, во 2 – 4 классах – 23 часа .</w:t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Образовательная недельная нагрузка распределяется равномерно в течение учебной недели, при этом объем максимально допустимой нагрузки в течение дня составляет:</w:t>
      </w:r>
    </w:p>
    <w:p>
      <w:pPr>
        <w:pStyle w:val="ListParagraph"/>
        <w:numPr>
          <w:ilvl w:val="0"/>
          <w:numId w:val="2"/>
        </w:numPr>
        <w:spacing w:lineRule="auto" w:line="276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для обучающихся 1-х классов - не превышает 4 уроков и один раз в неделю -5 уроков.</w:t>
      </w:r>
    </w:p>
    <w:p>
      <w:pPr>
        <w:pStyle w:val="ListParagraph"/>
        <w:numPr>
          <w:ilvl w:val="0"/>
          <w:numId w:val="2"/>
        </w:numPr>
        <w:spacing w:lineRule="auto" w:line="276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для обучающихся 2-4 классов - не более 5 уроков.</w:t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Распределение учебной нагрузки в течение недели строится таким образом, чтобы наибольший ее объем приходился на вторник и (или) среду. На эти дни в расписание уроков включаются предметы, соответствующие наивысшему баллу по шкале трудности либо со средним баллом и наименьшим баллом по шкале трудности, но в большем количестве, чем в остальные дни недели. </w:t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Изложение нового материала, контрольные работы проводятся на 2 - 4-х уроках в середине учебной недели. Продолжительность урока (академический час) составляет </w:t>
      </w:r>
      <w:r>
        <w:rPr>
          <w:rFonts w:cs="" w:asciiTheme="majorBidi" w:cstheme="majorBidi" w:hAnsiTheme="majorBidi"/>
          <w:sz w:val="28"/>
          <w:szCs w:val="28"/>
        </w:rPr>
        <w:t>40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 минут, за исключением 1 класса.</w:t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Обучение в 1-м классе осуществляется с соблюдением следующих дополнительных требований: </w:t>
      </w:r>
    </w:p>
    <w:p>
      <w:pPr>
        <w:pStyle w:val="ListParagraph"/>
        <w:numPr>
          <w:ilvl w:val="0"/>
          <w:numId w:val="1"/>
        </w:numPr>
        <w:spacing w:lineRule="auto" w:line="276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учебные занятия проводятся по 5-дневной учебной неделе и только в первую смену;</w:t>
      </w:r>
    </w:p>
    <w:p>
      <w:pPr>
        <w:pStyle w:val="ListParagraph"/>
        <w:numPr>
          <w:ilvl w:val="0"/>
          <w:numId w:val="1"/>
        </w:numPr>
        <w:spacing w:lineRule="auto" w:line="276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использование «ступенчатого» режима обучения в первом полугодии (в сентябре, октябре - по 3 урока в день по 35 минут каждый, в ноябре-декабре - по 4 урока по 35 минут каждый; январь - май - по 4 урока по 40 минут каждый).</w:t>
      </w:r>
    </w:p>
    <w:p>
      <w:pPr>
        <w:pStyle w:val="ListParagraph"/>
        <w:numPr>
          <w:ilvl w:val="0"/>
          <w:numId w:val="1"/>
        </w:numPr>
        <w:spacing w:lineRule="auto" w:line="276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Продолжительность выполнения домашних заданий составляет во 2-3 классах - 1,5 ч., в 4 классах - 2 ч.</w:t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С целью профилактики переутомления в календарном учебном графике предусматривается чередование периодов учебного времени, сессий и каникул.  Продолжительность каникул в течение учебного года составляет не менее 30 календарных дней, летом — не менее 8 недель. Для первоклассников предусмотрены дополнительные недельные каникулы в середине третьей четверти.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Учебные занятия для учащихся 2-4 классов проводятся по 5-и дневной учебной неделе.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>
      <w:pPr>
        <w:pStyle w:val="Normal"/>
        <w:ind w:firstLine="567"/>
        <w:jc w:val="both"/>
        <w:rPr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В Муниципальное  бюджетное общеобразовательное учреждение лицей № 104 г. Минеральные Воды</w:t>
      </w:r>
      <w:r>
        <w:rPr>
          <w:rFonts w:cs="" w:asciiTheme="majorBidi" w:cstheme="majorBidi" w:hAnsiTheme="majorBidi"/>
          <w:sz w:val="28"/>
          <w:szCs w:val="28"/>
        </w:rPr>
        <w:t xml:space="preserve"> 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языком обучения является </w:t>
      </w:r>
      <w:r>
        <w:rPr>
          <w:rFonts w:cs="" w:asciiTheme="majorBidi" w:cstheme="majorBidi" w:hAnsiTheme="majorBidi"/>
          <w:sz w:val="28"/>
          <w:szCs w:val="28"/>
        </w:rPr>
        <w:t>русский язык.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При изучении предметной области «Основы религиозных культур и светской этики» выбор одного из учебных модулей осуществляются по заявлению родителей (законных представителей) несовершеннолетних обучающихся.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При изучении предметов иностранный язык (английский)</w:t>
      </w:r>
      <w:r>
        <w:rPr>
          <w:rStyle w:val="Markedcontent"/>
          <w:rFonts w:cs="" w:asciiTheme="majorBidi" w:cstheme="majorBidi" w:hAnsiTheme="majorBidi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>осуществляется деление учащихся на подгруппы.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Промежуточная аттестация – процедура, проводимая с целью оценки качества освоения обучающимися части содержания (четвертное оценивание) или всего объема учебной дисциплины за учебный год (годовое оценивание).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 графиком.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Все предметы обязательной части учебного плана оцениваются по четвертям. Предметы из части, формируемой участниками образовательных отношений, являются безотметочными и оцениваются «зачет» или «незачет» по итогам четверти. 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Промежуточная аттестация проходит на последней учебной неделе четверти. Формы и порядок проведения промежуточной аттестации определяются «Положением о формах, периодичности и порядке</w:t>
        <w:br/>
        <w:t xml:space="preserve">текущего контроля успеваемости и промежуточной аттестации обучающихся Муниципальное  бюджетное общеобразовательное учреждение лицей № 104 г. Минеральные Воды. 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Оценивание младших школьников в течение первого года обучения осуществляются в форме словесных качественных оценок на критериальной основе, в форме письменных заключений учителя, по итогам проверки самостоятельных работ.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Освоение основных образовательных программ начального общего образования завершается итоговой аттестацией. Нормативный срок освоения ООП НОО составляет 4 года.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sectPr>
          <w:type w:val="nextPage"/>
          <w:pgSz w:w="11906" w:h="16838"/>
          <w:pgMar w:left="1134" w:right="850" w:gutter="0" w:header="0" w:top="1134" w:footer="0" w:bottom="1134"/>
          <w:pgNumType w:fmt="decimal"/>
          <w:formProt w:val="false"/>
          <w:textDirection w:val="lrTb"/>
          <w:docGrid w:type="default" w:linePitch="360" w:charSpace="4096"/>
        </w:sect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tbl>
      <w:tblPr>
        <w:tblStyle w:val="ab"/>
        <w:tblW w:w="1454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08"/>
        <w:gridCol w:w="807"/>
        <w:gridCol w:w="809"/>
        <w:gridCol w:w="807"/>
        <w:gridCol w:w="810"/>
        <w:gridCol w:w="807"/>
        <w:gridCol w:w="809"/>
        <w:gridCol w:w="807"/>
        <w:gridCol w:w="809"/>
        <w:gridCol w:w="809"/>
        <w:gridCol w:w="807"/>
        <w:gridCol w:w="810"/>
        <w:gridCol w:w="807"/>
        <w:gridCol w:w="809"/>
        <w:gridCol w:w="807"/>
        <w:gridCol w:w="809"/>
        <w:gridCol w:w="807"/>
        <w:gridCol w:w="802"/>
      </w:tblGrid>
      <w:tr>
        <w:trPr/>
        <w:tc>
          <w:tcPr>
            <w:tcW w:w="808" w:type="dxa"/>
            <w:vMerge w:val="restart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Предметная область</w:t>
            </w:r>
          </w:p>
        </w:tc>
        <w:tc>
          <w:tcPr>
            <w:tcW w:w="807" w:type="dxa"/>
            <w:vMerge w:val="restart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Учебный предмет</w:t>
            </w:r>
          </w:p>
        </w:tc>
        <w:tc>
          <w:tcPr>
            <w:tcW w:w="12925" w:type="dxa"/>
            <w:gridSpan w:val="16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Количество часов в неделю</w:t>
            </w:r>
          </w:p>
        </w:tc>
      </w:tr>
      <w:tr>
        <w:trPr/>
        <w:tc>
          <w:tcPr>
            <w:tcW w:w="80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807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809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1а</w:t>
            </w:r>
          </w:p>
        </w:tc>
        <w:tc>
          <w:tcPr>
            <w:tcW w:w="807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1б</w:t>
            </w:r>
          </w:p>
        </w:tc>
        <w:tc>
          <w:tcPr>
            <w:tcW w:w="810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1в</w:t>
            </w:r>
          </w:p>
        </w:tc>
        <w:tc>
          <w:tcPr>
            <w:tcW w:w="807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1г</w:t>
            </w:r>
          </w:p>
        </w:tc>
        <w:tc>
          <w:tcPr>
            <w:tcW w:w="809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2а</w:t>
            </w:r>
          </w:p>
        </w:tc>
        <w:tc>
          <w:tcPr>
            <w:tcW w:w="807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2б</w:t>
            </w:r>
          </w:p>
        </w:tc>
        <w:tc>
          <w:tcPr>
            <w:tcW w:w="809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2в</w:t>
            </w:r>
          </w:p>
        </w:tc>
        <w:tc>
          <w:tcPr>
            <w:tcW w:w="809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2г</w:t>
            </w:r>
          </w:p>
        </w:tc>
        <w:tc>
          <w:tcPr>
            <w:tcW w:w="807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3а</w:t>
            </w:r>
          </w:p>
        </w:tc>
        <w:tc>
          <w:tcPr>
            <w:tcW w:w="810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3б</w:t>
            </w:r>
          </w:p>
        </w:tc>
        <w:tc>
          <w:tcPr>
            <w:tcW w:w="807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3в</w:t>
            </w:r>
          </w:p>
        </w:tc>
        <w:tc>
          <w:tcPr>
            <w:tcW w:w="809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3г</w:t>
            </w:r>
          </w:p>
        </w:tc>
        <w:tc>
          <w:tcPr>
            <w:tcW w:w="807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4а</w:t>
            </w:r>
          </w:p>
        </w:tc>
        <w:tc>
          <w:tcPr>
            <w:tcW w:w="809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4б</w:t>
            </w:r>
          </w:p>
        </w:tc>
        <w:tc>
          <w:tcPr>
            <w:tcW w:w="807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4в</w:t>
            </w:r>
          </w:p>
        </w:tc>
        <w:tc>
          <w:tcPr>
            <w:tcW w:w="802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4г</w:t>
            </w:r>
          </w:p>
        </w:tc>
      </w:tr>
      <w:tr>
        <w:trPr/>
        <w:tc>
          <w:tcPr>
            <w:tcW w:w="14540" w:type="dxa"/>
            <w:gridSpan w:val="18"/>
            <w:tcBorders/>
            <w:shd w:fill="FFFFB3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Обязательная часть</w:t>
            </w:r>
          </w:p>
        </w:tc>
      </w:tr>
      <w:tr>
        <w:trPr/>
        <w:tc>
          <w:tcPr>
            <w:tcW w:w="808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Русский язык и литературное чтение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Русский язык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</w:tr>
      <w:tr>
        <w:trPr/>
        <w:tc>
          <w:tcPr>
            <w:tcW w:w="80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Литературное чтение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Иностранный язык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Иностранный язык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Математика и информатика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Обществознание и естествознание ("окружающий мир")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Окружающий мир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Основы религиозных культур и светской этики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Основы религиозных культур и светской этики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808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Искусство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Изобразительное искусство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80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Музыка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Технология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Технология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Физическая культура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Физическая культура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</w:tr>
      <w:tr>
        <w:trPr/>
        <w:tc>
          <w:tcPr>
            <w:tcW w:w="1615" w:type="dxa"/>
            <w:gridSpan w:val="2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Итого</w:t>
            </w:r>
          </w:p>
        </w:tc>
        <w:tc>
          <w:tcPr>
            <w:tcW w:w="809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20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20</w:t>
            </w:r>
          </w:p>
        </w:tc>
        <w:tc>
          <w:tcPr>
            <w:tcW w:w="810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20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20</w:t>
            </w:r>
          </w:p>
        </w:tc>
        <w:tc>
          <w:tcPr>
            <w:tcW w:w="809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22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22</w:t>
            </w:r>
          </w:p>
        </w:tc>
        <w:tc>
          <w:tcPr>
            <w:tcW w:w="809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22</w:t>
            </w:r>
          </w:p>
        </w:tc>
        <w:tc>
          <w:tcPr>
            <w:tcW w:w="809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22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22</w:t>
            </w:r>
          </w:p>
        </w:tc>
        <w:tc>
          <w:tcPr>
            <w:tcW w:w="810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22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22</w:t>
            </w:r>
          </w:p>
        </w:tc>
        <w:tc>
          <w:tcPr>
            <w:tcW w:w="809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22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23</w:t>
            </w:r>
          </w:p>
        </w:tc>
        <w:tc>
          <w:tcPr>
            <w:tcW w:w="809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23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23</w:t>
            </w:r>
          </w:p>
        </w:tc>
        <w:tc>
          <w:tcPr>
            <w:tcW w:w="802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23</w:t>
            </w:r>
          </w:p>
        </w:tc>
      </w:tr>
      <w:tr>
        <w:trPr/>
        <w:tc>
          <w:tcPr>
            <w:tcW w:w="14540" w:type="dxa"/>
            <w:gridSpan w:val="18"/>
            <w:tcBorders/>
            <w:shd w:fill="FFFFB3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Часть, формируемая участниками образовательных отношений</w:t>
            </w:r>
          </w:p>
        </w:tc>
      </w:tr>
      <w:tr>
        <w:trPr/>
        <w:tc>
          <w:tcPr>
            <w:tcW w:w="1615" w:type="dxa"/>
            <w:gridSpan w:val="2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Наименование учебного курса</w:t>
            </w:r>
          </w:p>
        </w:tc>
        <w:tc>
          <w:tcPr>
            <w:tcW w:w="809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807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810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807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809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807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809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809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807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810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807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809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807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809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807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802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1615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Литературное чтение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</w:tr>
      <w:tr>
        <w:trPr/>
        <w:tc>
          <w:tcPr>
            <w:tcW w:w="1615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</w:tr>
      <w:tr>
        <w:trPr/>
        <w:tc>
          <w:tcPr>
            <w:tcW w:w="1615" w:type="dxa"/>
            <w:gridSpan w:val="2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Итого</w:t>
            </w:r>
          </w:p>
        </w:tc>
        <w:tc>
          <w:tcPr>
            <w:tcW w:w="809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10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10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9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802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</w:tr>
      <w:tr>
        <w:trPr/>
        <w:tc>
          <w:tcPr>
            <w:tcW w:w="1615" w:type="dxa"/>
            <w:gridSpan w:val="2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ИТОГО недельная нагрузка</w:t>
            </w:r>
          </w:p>
        </w:tc>
        <w:tc>
          <w:tcPr>
            <w:tcW w:w="809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21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21</w:t>
            </w:r>
          </w:p>
        </w:tc>
        <w:tc>
          <w:tcPr>
            <w:tcW w:w="810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21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21</w:t>
            </w:r>
          </w:p>
        </w:tc>
        <w:tc>
          <w:tcPr>
            <w:tcW w:w="809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23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23</w:t>
            </w:r>
          </w:p>
        </w:tc>
        <w:tc>
          <w:tcPr>
            <w:tcW w:w="809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23</w:t>
            </w:r>
          </w:p>
        </w:tc>
        <w:tc>
          <w:tcPr>
            <w:tcW w:w="809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23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23</w:t>
            </w:r>
          </w:p>
        </w:tc>
        <w:tc>
          <w:tcPr>
            <w:tcW w:w="810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23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23</w:t>
            </w:r>
          </w:p>
        </w:tc>
        <w:tc>
          <w:tcPr>
            <w:tcW w:w="809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23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23</w:t>
            </w:r>
          </w:p>
        </w:tc>
        <w:tc>
          <w:tcPr>
            <w:tcW w:w="809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23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23</w:t>
            </w:r>
          </w:p>
        </w:tc>
        <w:tc>
          <w:tcPr>
            <w:tcW w:w="802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23</w:t>
            </w:r>
          </w:p>
        </w:tc>
      </w:tr>
      <w:tr>
        <w:trPr/>
        <w:tc>
          <w:tcPr>
            <w:tcW w:w="1615" w:type="dxa"/>
            <w:gridSpan w:val="2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Количество учебных недель</w:t>
            </w:r>
          </w:p>
        </w:tc>
        <w:tc>
          <w:tcPr>
            <w:tcW w:w="809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33</w:t>
            </w:r>
          </w:p>
        </w:tc>
        <w:tc>
          <w:tcPr>
            <w:tcW w:w="807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33</w:t>
            </w:r>
          </w:p>
        </w:tc>
        <w:tc>
          <w:tcPr>
            <w:tcW w:w="810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33</w:t>
            </w:r>
          </w:p>
        </w:tc>
        <w:tc>
          <w:tcPr>
            <w:tcW w:w="807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33</w:t>
            </w:r>
          </w:p>
        </w:tc>
        <w:tc>
          <w:tcPr>
            <w:tcW w:w="809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807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809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809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807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810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807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809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807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809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807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802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</w:tr>
      <w:tr>
        <w:trPr/>
        <w:tc>
          <w:tcPr>
            <w:tcW w:w="1615" w:type="dxa"/>
            <w:gridSpan w:val="2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Всего часов в год</w:t>
            </w:r>
          </w:p>
        </w:tc>
        <w:tc>
          <w:tcPr>
            <w:tcW w:w="809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693</w:t>
            </w:r>
          </w:p>
        </w:tc>
        <w:tc>
          <w:tcPr>
            <w:tcW w:w="807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693</w:t>
            </w:r>
          </w:p>
        </w:tc>
        <w:tc>
          <w:tcPr>
            <w:tcW w:w="810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693</w:t>
            </w:r>
          </w:p>
        </w:tc>
        <w:tc>
          <w:tcPr>
            <w:tcW w:w="807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693</w:t>
            </w:r>
          </w:p>
        </w:tc>
        <w:tc>
          <w:tcPr>
            <w:tcW w:w="809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782</w:t>
            </w:r>
          </w:p>
        </w:tc>
        <w:tc>
          <w:tcPr>
            <w:tcW w:w="807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782</w:t>
            </w:r>
          </w:p>
        </w:tc>
        <w:tc>
          <w:tcPr>
            <w:tcW w:w="809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782</w:t>
            </w:r>
          </w:p>
        </w:tc>
        <w:tc>
          <w:tcPr>
            <w:tcW w:w="809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782</w:t>
            </w:r>
          </w:p>
        </w:tc>
        <w:tc>
          <w:tcPr>
            <w:tcW w:w="807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782</w:t>
            </w:r>
          </w:p>
        </w:tc>
        <w:tc>
          <w:tcPr>
            <w:tcW w:w="810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782</w:t>
            </w:r>
          </w:p>
        </w:tc>
        <w:tc>
          <w:tcPr>
            <w:tcW w:w="807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782</w:t>
            </w:r>
          </w:p>
        </w:tc>
        <w:tc>
          <w:tcPr>
            <w:tcW w:w="809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782</w:t>
            </w:r>
          </w:p>
        </w:tc>
        <w:tc>
          <w:tcPr>
            <w:tcW w:w="807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782</w:t>
            </w:r>
          </w:p>
        </w:tc>
        <w:tc>
          <w:tcPr>
            <w:tcW w:w="809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782</w:t>
            </w:r>
          </w:p>
        </w:tc>
        <w:tc>
          <w:tcPr>
            <w:tcW w:w="807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782</w:t>
            </w:r>
          </w:p>
        </w:tc>
        <w:tc>
          <w:tcPr>
            <w:tcW w:w="802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782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rPr/>
      </w:pPr>
      <w:r>
        <w:rPr>
          <w:b/>
          <w:sz w:val="32"/>
        </w:rPr>
        <w:t>План внеурочной деятельности (недельный)</w:t>
      </w:r>
    </w:p>
    <w:p>
      <w:pPr>
        <w:pStyle w:val="Normal"/>
        <w:rPr/>
      </w:pPr>
      <w:r>
        <w:rPr/>
        <w:t>Муниципальное  бюджетное общеобразовательное учреждение лицей № 104 г. Минеральные Воды</w:t>
      </w:r>
    </w:p>
    <w:tbl>
      <w:tblPr>
        <w:tblStyle w:val="ab"/>
        <w:tblW w:w="1454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14"/>
        <w:gridCol w:w="810"/>
        <w:gridCol w:w="807"/>
        <w:gridCol w:w="809"/>
        <w:gridCol w:w="807"/>
        <w:gridCol w:w="809"/>
        <w:gridCol w:w="807"/>
        <w:gridCol w:w="809"/>
        <w:gridCol w:w="808"/>
        <w:gridCol w:w="806"/>
        <w:gridCol w:w="810"/>
        <w:gridCol w:w="807"/>
        <w:gridCol w:w="809"/>
        <w:gridCol w:w="807"/>
        <w:gridCol w:w="809"/>
        <w:gridCol w:w="807"/>
        <w:gridCol w:w="809"/>
      </w:tblGrid>
      <w:tr>
        <w:trPr/>
        <w:tc>
          <w:tcPr>
            <w:tcW w:w="1614" w:type="dxa"/>
            <w:vMerge w:val="restart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Учебные курсы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2930" w:type="dxa"/>
            <w:gridSpan w:val="16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Количество часов в неделю</w:t>
            </w:r>
          </w:p>
        </w:tc>
      </w:tr>
      <w:tr>
        <w:trPr/>
        <w:tc>
          <w:tcPr>
            <w:tcW w:w="1614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810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1а</w:t>
            </w:r>
          </w:p>
        </w:tc>
        <w:tc>
          <w:tcPr>
            <w:tcW w:w="807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1б</w:t>
            </w:r>
          </w:p>
        </w:tc>
        <w:tc>
          <w:tcPr>
            <w:tcW w:w="809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1в</w:t>
            </w:r>
          </w:p>
        </w:tc>
        <w:tc>
          <w:tcPr>
            <w:tcW w:w="807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1г</w:t>
            </w:r>
          </w:p>
        </w:tc>
        <w:tc>
          <w:tcPr>
            <w:tcW w:w="809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2а</w:t>
            </w:r>
          </w:p>
        </w:tc>
        <w:tc>
          <w:tcPr>
            <w:tcW w:w="807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2б</w:t>
            </w:r>
          </w:p>
        </w:tc>
        <w:tc>
          <w:tcPr>
            <w:tcW w:w="809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2в</w:t>
            </w:r>
          </w:p>
        </w:tc>
        <w:tc>
          <w:tcPr>
            <w:tcW w:w="808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2г</w:t>
            </w:r>
          </w:p>
        </w:tc>
        <w:tc>
          <w:tcPr>
            <w:tcW w:w="806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3а</w:t>
            </w:r>
          </w:p>
        </w:tc>
        <w:tc>
          <w:tcPr>
            <w:tcW w:w="810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3б</w:t>
            </w:r>
          </w:p>
        </w:tc>
        <w:tc>
          <w:tcPr>
            <w:tcW w:w="807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3в</w:t>
            </w:r>
          </w:p>
        </w:tc>
        <w:tc>
          <w:tcPr>
            <w:tcW w:w="809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3г</w:t>
            </w:r>
          </w:p>
        </w:tc>
        <w:tc>
          <w:tcPr>
            <w:tcW w:w="807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4а</w:t>
            </w:r>
          </w:p>
        </w:tc>
        <w:tc>
          <w:tcPr>
            <w:tcW w:w="809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4б</w:t>
            </w:r>
          </w:p>
        </w:tc>
        <w:tc>
          <w:tcPr>
            <w:tcW w:w="807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4в</w:t>
            </w:r>
          </w:p>
        </w:tc>
        <w:tc>
          <w:tcPr>
            <w:tcW w:w="809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4г</w:t>
            </w:r>
          </w:p>
        </w:tc>
      </w:tr>
      <w:tr>
        <w:trPr/>
        <w:tc>
          <w:tcPr>
            <w:tcW w:w="161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Орлята России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161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Культурный норматив школьника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161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Спортивные секции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161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Разговор о важном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161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Проектно-исследовательская деятельность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1614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ИТОГО недельная нагрузка</w:t>
            </w:r>
          </w:p>
        </w:tc>
        <w:tc>
          <w:tcPr>
            <w:tcW w:w="810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9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9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9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8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6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10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9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9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09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</w:tr>
    </w:tbl>
    <w:sectPr>
      <w:type w:val="nextPage"/>
      <w:pgSz w:orient="landscape" w:w="16820" w:h="11906"/>
      <w:pgMar w:left="1134" w:right="1134" w:gutter="0" w:header="0" w:top="850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c4d43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3">
    <w:name w:val="Heading 3"/>
    <w:basedOn w:val="Normal"/>
    <w:link w:val="31"/>
    <w:uiPriority w:val="9"/>
    <w:qFormat/>
    <w:rsid w:val="00613f43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ca5d63"/>
    <w:rPr>
      <w:sz w:val="16"/>
      <w:szCs w:val="16"/>
    </w:rPr>
  </w:style>
  <w:style w:type="character" w:styleId="Style13" w:customStyle="1">
    <w:name w:val="Текст примечания Знак"/>
    <w:basedOn w:val="DefaultParagraphFont"/>
    <w:link w:val="Annotationtext"/>
    <w:uiPriority w:val="99"/>
    <w:semiHidden/>
    <w:qFormat/>
    <w:rsid w:val="00ca5d63"/>
    <w:rPr>
      <w:sz w:val="20"/>
      <w:szCs w:val="20"/>
    </w:rPr>
  </w:style>
  <w:style w:type="character" w:styleId="Style14" w:customStyle="1">
    <w:name w:val="Тема примечания Знак"/>
    <w:basedOn w:val="Style13"/>
    <w:link w:val="Annotationsubject"/>
    <w:uiPriority w:val="99"/>
    <w:semiHidden/>
    <w:qFormat/>
    <w:rsid w:val="00ca5d63"/>
    <w:rPr>
      <w:b/>
      <w:bCs/>
      <w:sz w:val="20"/>
      <w:szCs w:val="20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ca5d63"/>
    <w:rPr>
      <w:rFonts w:ascii="Segoe UI" w:hAnsi="Segoe UI" w:cs="Segoe UI"/>
      <w:sz w:val="18"/>
      <w:szCs w:val="18"/>
    </w:rPr>
  </w:style>
  <w:style w:type="character" w:styleId="Markedcontent" w:customStyle="1">
    <w:name w:val="markedcontent"/>
    <w:basedOn w:val="DefaultParagraphFont"/>
    <w:qFormat/>
    <w:rsid w:val="0030678a"/>
    <w:rPr/>
  </w:style>
  <w:style w:type="character" w:styleId="31" w:customStyle="1">
    <w:name w:val="Заголовок 3 Знак"/>
    <w:basedOn w:val="DefaultParagraphFont"/>
    <w:uiPriority w:val="9"/>
    <w:qFormat/>
    <w:rsid w:val="00613f43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Annotationtext">
    <w:name w:val="annotation text"/>
    <w:basedOn w:val="Normal"/>
    <w:link w:val="Style13"/>
    <w:uiPriority w:val="99"/>
    <w:semiHidden/>
    <w:unhideWhenUsed/>
    <w:qFormat/>
    <w:rsid w:val="00ca5d6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Style14"/>
    <w:uiPriority w:val="99"/>
    <w:semiHidden/>
    <w:unhideWhenUsed/>
    <w:qFormat/>
    <w:rsid w:val="00ca5d63"/>
    <w:pPr/>
    <w:rPr>
      <w:b/>
      <w:bCs/>
    </w:rPr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ca5d6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c3476"/>
    <w:pPr>
      <w:spacing w:before="0" w:after="160"/>
      <w:ind w:left="720" w:hanging="0"/>
      <w:contextualSpacing/>
    </w:pPr>
    <w:rPr/>
  </w:style>
  <w:style w:type="paragraph" w:styleId="Style21">
    <w:name w:val="Содержимое таблицы"/>
    <w:basedOn w:val="Normal"/>
    <w:qFormat/>
    <w:pPr>
      <w:widowControl w:val="false"/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LibreOffice/7.4.3.2$Windows_X86_64 LibreOffice_project/1048a8393ae2eeec98dff31b5c133c5f1d08b890</Application>
  <AppVersion>15.0000</AppVersion>
  <Pages>8</Pages>
  <Words>1266</Words>
  <Characters>6603</Characters>
  <CharactersWithSpaces>7398</CharactersWithSpaces>
  <Paragraphs>490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2023-04-17T10:52:00Z</dcterms:created>
  <dc:creator>admin</dc:creator>
  <dc:description/>
  <dc:language>ru-RU</dc:language>
  <cp:lastModifiedBy/>
  <cp:lastPrinted>2023-06-29T15:48:39Z</cp:lastPrinted>
  <dcterms:modified xsi:type="dcterms:W3CDTF">2023-06-29T15:50:11Z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